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III/2 vom 8. September 2022</w:t>
      </w:r>
    </w:p>
    <w:p>
      <w:r>
        <w:t>Bundesverwaltungsgericht, 2022-09-08, DE</w:t>
      </w:r>
    </w:p>
    <w:p>
      <w:r>
        <w:rPr>
          <w:b/>
        </w:rPr>
        <w:t xml:space="preserve">Quelle: </w:t>
      </w:r>
      <w:r>
        <w:t>https://mcp.opencaselaw.ch/entscheid/bvger_BVGE 2022 III_2</w:t>
      </w:r>
    </w:p>
    <w:p>
      <w:r>
        <w:t>FR: TAF BVGE 2022 III/2 du 8 septembre 2022</w:t>
      </w:r>
    </w:p>
    <w:p>
      <w:r>
        <w:t>IT: TAF BVGE 2022 III/2 del 8 settembre 2022</w:t>
      </w:r>
    </w:p>
    <w:p>
      <w:pPr>
        <w:pStyle w:val="Heading2"/>
      </w:pPr>
      <w:r>
        <w:t>Regeste</w:t>
      </w:r>
    </w:p>
    <w:p>
      <w:r>
        <w:t>Zölle</w:t>
      </w:r>
    </w:p>
    <w:p>
      <w:pPr>
        <w:pStyle w:val="Heading2"/>
      </w:pPr>
      <w:r>
        <w:t>Erwägungen</w:t>
      </w:r>
    </w:p>
    <w:p>
      <w:r>
        <w:rPr>
          <w:b/>
        </w:rPr>
        <w:t>E. 1</w:t>
      </w:r>
    </w:p>
    <w:p>
      <w:r>
        <w:t>Die Berechtigung, eine Verfügung zu verlangen, richtet sich nach den Art. 6 und 48 VwVG. Wird ein Gesuch um Restauration einer beschlagnahmten Sache gestellt, zielt dieses Gesuch auf den Erlass einer Verfügung ab (E. 3.4.2 und 3.5.2).</w:t>
      </w:r>
    </w:p>
    <w:p>
      <w:r>
        <w:rPr>
          <w:b/>
        </w:rPr>
        <w:t>E. 2</w:t>
      </w:r>
    </w:p>
    <w:p>
      <w:r>
        <w:t>Damit die beschlagnahmte Sache restauriert werden kann, bedarf es zwingend der Verfügung über die Pfandsache durch die Zollbehörde beziehungsweise der Übergabe der Sache durch die Zollbehörde an den Restaurationsbetrieb oder der Zustimmung der Zollbehörde zu einer solchen Übergabe oder aber der Zustimmung zur Bearbeitung der Pfandsache am bisherigen Ort. Die letzten beiden Handlungen kommen einer zumindest teilweisen Freigabe des Kunstwerks im Sinne von Art. 84 ZG gleich. Dieser Artikel ist daher analog anzuwenden (E. 2.5 und 3.5.4).</w:t>
      </w:r>
    </w:p>
    <w:p>
      <w:r>
        <w:rPr>
          <w:b/>
        </w:rPr>
        <w:t>E. 3</w:t>
      </w:r>
    </w:p>
    <w:p>
      <w:r>
        <w:t>Die Freigabe erfolgt gegenüber dem Eigentümer des Pfandgegenstandes. Zu dessen Ermittlung hat die Zollverwaltung nur verhältnismässige Massnahmen zu ergreifen (E. 3.7 und 3.7.2).</w:t>
      </w:r>
    </w:p>
    <w:p>
      <w:r>
        <w:t>Eidgenossenschaft Bundesverwaltungsgericht Conféderation Bundesverwaltungsgericht Confederazione Bundesverwaltungsgericht Abteilung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